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3" w:rsidRP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b/>
          <w:sz w:val="24"/>
          <w:szCs w:val="24"/>
        </w:rPr>
      </w:pPr>
      <w:r w:rsidRPr="00D46203">
        <w:rPr>
          <w:rFonts w:ascii="Palatino Linotype" w:hAnsi="Palatino Linotype" w:cs="Univers-Extended"/>
          <w:b/>
          <w:sz w:val="24"/>
          <w:szCs w:val="24"/>
        </w:rPr>
        <w:t>ENPACL</w:t>
      </w: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  <w:r>
        <w:rPr>
          <w:rFonts w:ascii="Palatino Linotype" w:hAnsi="Palatino Linotype" w:cs="Univers-Extended"/>
          <w:sz w:val="24"/>
          <w:szCs w:val="24"/>
        </w:rPr>
        <w:t>Ente Nazionale di Previdenza e Assistenza per i Consulenti del Lavoro</w:t>
      </w: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b/>
          <w:sz w:val="24"/>
          <w:szCs w:val="24"/>
        </w:rPr>
      </w:pPr>
      <w:r w:rsidRPr="00D46203">
        <w:rPr>
          <w:rFonts w:ascii="Palatino Linotype" w:hAnsi="Palatino Linotype" w:cs="Univers-Extended"/>
          <w:b/>
          <w:sz w:val="24"/>
          <w:szCs w:val="24"/>
        </w:rPr>
        <w:t xml:space="preserve">Bilancio </w:t>
      </w:r>
      <w:r w:rsidR="00B318EB">
        <w:rPr>
          <w:rFonts w:ascii="Palatino Linotype" w:hAnsi="Palatino Linotype" w:cs="Univers-Extended"/>
          <w:b/>
          <w:sz w:val="24"/>
          <w:szCs w:val="24"/>
        </w:rPr>
        <w:t xml:space="preserve">consuntivo </w:t>
      </w:r>
      <w:r w:rsidRPr="00D46203">
        <w:rPr>
          <w:rFonts w:ascii="Palatino Linotype" w:hAnsi="Palatino Linotype" w:cs="Univers-Extended"/>
          <w:b/>
          <w:sz w:val="24"/>
          <w:szCs w:val="24"/>
        </w:rPr>
        <w:t>anno 2014</w:t>
      </w:r>
    </w:p>
    <w:p w:rsidR="00D46203" w:rsidRP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b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b/>
          <w:sz w:val="28"/>
          <w:szCs w:val="28"/>
        </w:rPr>
      </w:pPr>
    </w:p>
    <w:p w:rsidR="00D46203" w:rsidRPr="00D46203" w:rsidRDefault="00B318EB" w:rsidP="00D4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b/>
          <w:sz w:val="28"/>
          <w:szCs w:val="28"/>
        </w:rPr>
      </w:pPr>
      <w:r>
        <w:rPr>
          <w:rFonts w:ascii="Palatino Linotype" w:hAnsi="Palatino Linotype" w:cs="Univers-Extended"/>
          <w:b/>
          <w:sz w:val="28"/>
          <w:szCs w:val="28"/>
        </w:rPr>
        <w:t>Rapporto sui</w:t>
      </w:r>
      <w:r w:rsidR="00D46203" w:rsidRPr="00D46203">
        <w:rPr>
          <w:rFonts w:ascii="Palatino Linotype" w:hAnsi="Palatino Linotype" w:cs="Univers-Extended"/>
          <w:b/>
          <w:sz w:val="28"/>
          <w:szCs w:val="28"/>
        </w:rPr>
        <w:t xml:space="preserve"> risultati </w:t>
      </w:r>
      <w:bookmarkStart w:id="0" w:name="_GoBack"/>
      <w:bookmarkEnd w:id="0"/>
      <w:r>
        <w:rPr>
          <w:rFonts w:ascii="Palatino Linotype" w:hAnsi="Palatino Linotype" w:cs="Univers-Extended"/>
          <w:b/>
          <w:sz w:val="28"/>
          <w:szCs w:val="28"/>
        </w:rPr>
        <w:t>di bilancio</w:t>
      </w:r>
    </w:p>
    <w:p w:rsidR="00D46203" w:rsidRPr="00D46203" w:rsidRDefault="00D46203" w:rsidP="00D46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i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  <w:r w:rsidRPr="00D46203">
        <w:rPr>
          <w:rFonts w:ascii="Palatino Linotype" w:hAnsi="Palatino Linotype" w:cs="Univers-Extended"/>
          <w:sz w:val="24"/>
          <w:szCs w:val="24"/>
        </w:rPr>
        <w:t xml:space="preserve"> </w:t>
      </w:r>
    </w:p>
    <w:p w:rsidR="00B96309" w:rsidRPr="000511D0" w:rsidRDefault="00230FA0" w:rsidP="00E27A9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0"/>
          <w:szCs w:val="20"/>
        </w:rPr>
      </w:pPr>
      <w:r w:rsidRPr="000511D0">
        <w:rPr>
          <w:rFonts w:ascii="Palatino Linotype" w:hAnsi="Palatino Linotype" w:cs="Univers-Extended"/>
          <w:sz w:val="20"/>
          <w:szCs w:val="20"/>
        </w:rPr>
        <w:t>Decreto legislativo</w:t>
      </w:r>
      <w:r w:rsidR="00B96309" w:rsidRPr="000511D0">
        <w:rPr>
          <w:rFonts w:ascii="Palatino Linotype" w:hAnsi="Palatino Linotype" w:cs="Univers-Extended"/>
          <w:sz w:val="20"/>
          <w:szCs w:val="20"/>
        </w:rPr>
        <w:t xml:space="preserve"> 31 maggio 2011, n.91, Titolo V</w:t>
      </w:r>
    </w:p>
    <w:p w:rsidR="00B96309" w:rsidRPr="000511D0" w:rsidRDefault="00B96309" w:rsidP="00B9630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0"/>
          <w:szCs w:val="20"/>
        </w:rPr>
      </w:pPr>
      <w:r w:rsidRPr="000511D0">
        <w:rPr>
          <w:rFonts w:ascii="Palatino Linotype" w:hAnsi="Palatino Linotype" w:cs="Univers-Extended"/>
          <w:sz w:val="20"/>
          <w:szCs w:val="20"/>
        </w:rPr>
        <w:t xml:space="preserve">Decreto del Presidente del Consiglio dei Ministri 18 settembre </w:t>
      </w:r>
      <w:r w:rsidR="00B318EB">
        <w:rPr>
          <w:rFonts w:ascii="Palatino Linotype" w:hAnsi="Palatino Linotype" w:cs="Univers-Extended"/>
          <w:sz w:val="20"/>
          <w:szCs w:val="20"/>
        </w:rPr>
        <w:t>2</w:t>
      </w:r>
      <w:r w:rsidRPr="000511D0">
        <w:rPr>
          <w:rFonts w:ascii="Palatino Linotype" w:hAnsi="Palatino Linotype" w:cs="Univers-Extended"/>
          <w:sz w:val="20"/>
          <w:szCs w:val="20"/>
        </w:rPr>
        <w:t>012</w:t>
      </w:r>
    </w:p>
    <w:p w:rsidR="00D46203" w:rsidRPr="000511D0" w:rsidRDefault="00D46203" w:rsidP="00B9630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0"/>
          <w:szCs w:val="20"/>
        </w:rPr>
      </w:pPr>
      <w:r w:rsidRPr="000511D0">
        <w:rPr>
          <w:rFonts w:ascii="Palatino Linotype" w:hAnsi="Palatino Linotype" w:cs="Univers-Extended"/>
          <w:sz w:val="20"/>
          <w:szCs w:val="20"/>
        </w:rPr>
        <w:t xml:space="preserve">Decreto ministeriale 27 marzo 2013, articolo </w:t>
      </w:r>
      <w:r w:rsidR="00B318EB">
        <w:rPr>
          <w:rFonts w:ascii="Palatino Linotype" w:hAnsi="Palatino Linotype" w:cs="Univers-Extended"/>
          <w:sz w:val="20"/>
          <w:szCs w:val="20"/>
        </w:rPr>
        <w:t>5</w:t>
      </w:r>
      <w:r w:rsidRPr="000511D0">
        <w:rPr>
          <w:rFonts w:ascii="Palatino Linotype" w:hAnsi="Palatino Linotype" w:cs="Univers-Extended"/>
          <w:sz w:val="20"/>
          <w:szCs w:val="20"/>
        </w:rPr>
        <w:t>,</w:t>
      </w:r>
      <w:r w:rsidR="00B318EB">
        <w:rPr>
          <w:rFonts w:ascii="Palatino Linotype" w:hAnsi="Palatino Linotype" w:cs="Univers-Extended"/>
          <w:sz w:val="20"/>
          <w:szCs w:val="20"/>
        </w:rPr>
        <w:t xml:space="preserve"> </w:t>
      </w:r>
      <w:r w:rsidRPr="000511D0">
        <w:rPr>
          <w:rFonts w:ascii="Palatino Linotype" w:hAnsi="Palatino Linotype" w:cs="Univers-Extended"/>
          <w:sz w:val="20"/>
          <w:szCs w:val="20"/>
        </w:rPr>
        <w:t xml:space="preserve"> comma </w:t>
      </w:r>
      <w:r w:rsidR="00B318EB">
        <w:rPr>
          <w:rFonts w:ascii="Palatino Linotype" w:hAnsi="Palatino Linotype" w:cs="Univers-Extended"/>
          <w:sz w:val="20"/>
          <w:szCs w:val="20"/>
        </w:rPr>
        <w:t>3</w:t>
      </w:r>
      <w:r w:rsidRPr="000511D0">
        <w:rPr>
          <w:rFonts w:ascii="Palatino Linotype" w:hAnsi="Palatino Linotype" w:cs="Univers-Extended"/>
          <w:sz w:val="20"/>
          <w:szCs w:val="20"/>
        </w:rPr>
        <w:t>,</w:t>
      </w:r>
      <w:r w:rsidR="00B318EB">
        <w:rPr>
          <w:rFonts w:ascii="Palatino Linotype" w:hAnsi="Palatino Linotype" w:cs="Univers-Extended"/>
          <w:sz w:val="20"/>
          <w:szCs w:val="20"/>
        </w:rPr>
        <w:t xml:space="preserve"> </w:t>
      </w:r>
      <w:r w:rsidRPr="000511D0">
        <w:rPr>
          <w:rFonts w:ascii="Palatino Linotype" w:hAnsi="Palatino Linotype" w:cs="Univers-Extended"/>
          <w:sz w:val="20"/>
          <w:szCs w:val="20"/>
        </w:rPr>
        <w:t xml:space="preserve"> lettera </w:t>
      </w:r>
      <w:r w:rsidR="00B318EB">
        <w:rPr>
          <w:rFonts w:ascii="Palatino Linotype" w:hAnsi="Palatino Linotype" w:cs="Univers-Extended"/>
          <w:sz w:val="20"/>
          <w:szCs w:val="20"/>
        </w:rPr>
        <w:t>b</w:t>
      </w:r>
      <w:r w:rsidRPr="000511D0">
        <w:rPr>
          <w:rFonts w:ascii="Palatino Linotype" w:hAnsi="Palatino Linotype" w:cs="Univers-Extended"/>
          <w:sz w:val="20"/>
          <w:szCs w:val="20"/>
        </w:rPr>
        <w:t>)</w:t>
      </w: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D46203" w:rsidP="00D4620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Univers-Extended"/>
          <w:sz w:val="24"/>
          <w:szCs w:val="24"/>
        </w:rPr>
      </w:pPr>
    </w:p>
    <w:p w:rsidR="00D46203" w:rsidRDefault="00B318EB" w:rsidP="00D4620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Univers-Extended"/>
          <w:sz w:val="24"/>
          <w:szCs w:val="24"/>
        </w:rPr>
      </w:pPr>
      <w:r>
        <w:rPr>
          <w:rFonts w:ascii="Palatino Linotype" w:hAnsi="Palatino Linotype" w:cs="Univers-Extended"/>
          <w:sz w:val="24"/>
          <w:szCs w:val="24"/>
        </w:rPr>
        <w:t>giugno</w:t>
      </w:r>
      <w:r w:rsidR="00D46203">
        <w:rPr>
          <w:rFonts w:ascii="Palatino Linotype" w:hAnsi="Palatino Linotype" w:cs="Univers-Extended"/>
          <w:sz w:val="24"/>
          <w:szCs w:val="24"/>
        </w:rPr>
        <w:t xml:space="preserve"> 201</w:t>
      </w:r>
      <w:r>
        <w:rPr>
          <w:rFonts w:ascii="Palatino Linotype" w:hAnsi="Palatino Linotype" w:cs="Univers-Extended"/>
          <w:sz w:val="24"/>
          <w:szCs w:val="24"/>
        </w:rPr>
        <w:t>5</w:t>
      </w: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3543"/>
        <w:gridCol w:w="3686"/>
      </w:tblGrid>
      <w:tr w:rsidR="00451012" w:rsidRPr="00451012" w:rsidTr="00C8436D">
        <w:tc>
          <w:tcPr>
            <w:tcW w:w="3543" w:type="dxa"/>
          </w:tcPr>
          <w:p w:rsidR="00C8436D" w:rsidRDefault="00D46203" w:rsidP="00C8436D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 w:cs="Univers-Extended"/>
                <w:sz w:val="24"/>
                <w:szCs w:val="24"/>
              </w:rPr>
              <w:lastRenderedPageBreak/>
              <w:br w:type="page"/>
            </w:r>
          </w:p>
          <w:p w:rsidR="00451012" w:rsidRDefault="00451012" w:rsidP="00C8436D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451012">
              <w:rPr>
                <w:rFonts w:ascii="Palatino Linotype" w:hAnsi="Palatino Linotype"/>
                <w:b/>
                <w:sz w:val="24"/>
                <w:szCs w:val="24"/>
              </w:rPr>
              <w:t>Missione</w:t>
            </w:r>
            <w:r w:rsidR="00C8436D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</w:p>
          <w:p w:rsidR="00C8436D" w:rsidRPr="00451012" w:rsidRDefault="00C8436D" w:rsidP="00C8436D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8436D" w:rsidRDefault="00C8436D" w:rsidP="00C8436D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451012" w:rsidRPr="00451012" w:rsidRDefault="00883987" w:rsidP="00883987">
            <w:pPr>
              <w:rPr>
                <w:rFonts w:ascii="Palatino Linotype" w:hAnsi="Palatino Linotype"/>
                <w:sz w:val="24"/>
                <w:szCs w:val="24"/>
              </w:rPr>
            </w:pPr>
            <w:r w:rsidRPr="00F80331">
              <w:rPr>
                <w:rFonts w:ascii="Palatino Linotype" w:hAnsi="Palatino Linotype"/>
                <w:sz w:val="24"/>
                <w:szCs w:val="24"/>
              </w:rPr>
              <w:t>Politiche P</w:t>
            </w:r>
            <w:r w:rsidR="00451012" w:rsidRPr="00F80331">
              <w:rPr>
                <w:rFonts w:ascii="Palatino Linotype" w:hAnsi="Palatino Linotype"/>
                <w:sz w:val="24"/>
                <w:szCs w:val="24"/>
              </w:rPr>
              <w:t>revidenz</w:t>
            </w:r>
            <w:r w:rsidRPr="00F80331">
              <w:rPr>
                <w:rFonts w:ascii="Palatino Linotype" w:hAnsi="Palatino Linotype"/>
                <w:sz w:val="24"/>
                <w:szCs w:val="24"/>
              </w:rPr>
              <w:t>i</w:t>
            </w:r>
            <w:r w:rsidR="00451012" w:rsidRPr="00F80331">
              <w:rPr>
                <w:rFonts w:ascii="Palatino Linotype" w:hAnsi="Palatino Linotype"/>
                <w:sz w:val="24"/>
                <w:szCs w:val="24"/>
              </w:rPr>
              <w:t>a</w:t>
            </w:r>
            <w:r w:rsidRPr="00F80331">
              <w:rPr>
                <w:rFonts w:ascii="Palatino Linotype" w:hAnsi="Palatino Linotype"/>
                <w:sz w:val="24"/>
                <w:szCs w:val="24"/>
              </w:rPr>
              <w:t>li</w:t>
            </w:r>
          </w:p>
        </w:tc>
      </w:tr>
      <w:tr w:rsidR="00C8436D" w:rsidRPr="00451012" w:rsidTr="00C8436D">
        <w:tc>
          <w:tcPr>
            <w:tcW w:w="3543" w:type="dxa"/>
          </w:tcPr>
          <w:p w:rsidR="00C8436D" w:rsidRDefault="00C8436D" w:rsidP="00C8436D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8436D" w:rsidRDefault="00C8436D" w:rsidP="00C8436D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Triennio: </w:t>
            </w:r>
          </w:p>
        </w:tc>
        <w:tc>
          <w:tcPr>
            <w:tcW w:w="3686" w:type="dxa"/>
          </w:tcPr>
          <w:p w:rsidR="00C8436D" w:rsidRDefault="00C8436D" w:rsidP="00C8436D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8436D" w:rsidRPr="00C8436D" w:rsidRDefault="00C8436D" w:rsidP="00C8436D">
            <w:pPr>
              <w:rPr>
                <w:rFonts w:ascii="Palatino Linotype" w:hAnsi="Palatino Linotype"/>
                <w:sz w:val="24"/>
                <w:szCs w:val="24"/>
              </w:rPr>
            </w:pPr>
            <w:r w:rsidRPr="00C8436D">
              <w:rPr>
                <w:rFonts w:ascii="Palatino Linotype" w:hAnsi="Palatino Linotype"/>
                <w:sz w:val="24"/>
                <w:szCs w:val="24"/>
              </w:rPr>
              <w:t>2014-2016</w:t>
            </w:r>
          </w:p>
          <w:p w:rsidR="00C8436D" w:rsidRDefault="00C8436D" w:rsidP="00C8436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451012" w:rsidRDefault="00451012" w:rsidP="00D46203">
      <w:pPr>
        <w:rPr>
          <w:rFonts w:ascii="Palatino Linotype" w:hAnsi="Palatino Linotype"/>
          <w:sz w:val="24"/>
          <w:szCs w:val="24"/>
        </w:rPr>
      </w:pPr>
    </w:p>
    <w:p w:rsidR="00451012" w:rsidRDefault="00451012" w:rsidP="00D46203">
      <w:pPr>
        <w:rPr>
          <w:rFonts w:ascii="Palatino Linotype" w:hAnsi="Palatino Linotype"/>
          <w:sz w:val="24"/>
          <w:szCs w:val="24"/>
        </w:rPr>
      </w:pPr>
    </w:p>
    <w:p w:rsidR="0090423F" w:rsidRDefault="0090423F" w:rsidP="00D4620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Elementi di cui a</w:t>
      </w:r>
      <w:r w:rsidR="00081285">
        <w:rPr>
          <w:rFonts w:ascii="Palatino Linotype" w:hAnsi="Palatino Linotype"/>
          <w:sz w:val="24"/>
          <w:szCs w:val="24"/>
        </w:rPr>
        <w:t xml:space="preserve">gli </w:t>
      </w:r>
      <w:r>
        <w:rPr>
          <w:rFonts w:ascii="Palatino Linotype" w:hAnsi="Palatino Linotype"/>
          <w:sz w:val="24"/>
          <w:szCs w:val="24"/>
        </w:rPr>
        <w:t>articol</w:t>
      </w:r>
      <w:r w:rsidR="00081285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81285">
        <w:rPr>
          <w:rFonts w:ascii="Palatino Linotype" w:hAnsi="Palatino Linotype"/>
          <w:sz w:val="24"/>
          <w:szCs w:val="24"/>
        </w:rPr>
        <w:t xml:space="preserve">3 e </w:t>
      </w:r>
      <w:r>
        <w:rPr>
          <w:rFonts w:ascii="Palatino Linotype" w:hAnsi="Palatino Linotype"/>
          <w:sz w:val="24"/>
          <w:szCs w:val="24"/>
        </w:rPr>
        <w:t>4</w:t>
      </w:r>
      <w:r w:rsidR="00081285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DPCM 18 settembre 2012</w:t>
      </w: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1101"/>
        <w:gridCol w:w="3543"/>
        <w:gridCol w:w="9923"/>
      </w:tblGrid>
      <w:tr w:rsidR="00E27A99" w:rsidRPr="00D46203" w:rsidTr="0090423F">
        <w:tc>
          <w:tcPr>
            <w:tcW w:w="1101" w:type="dxa"/>
          </w:tcPr>
          <w:p w:rsidR="00E27A99" w:rsidRPr="00D46203" w:rsidRDefault="0090423F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t>a.</w:t>
            </w:r>
            <w:r>
              <w:br w:type="page"/>
            </w:r>
          </w:p>
        </w:tc>
        <w:tc>
          <w:tcPr>
            <w:tcW w:w="3543" w:type="dxa"/>
          </w:tcPr>
          <w:p w:rsidR="00E27A99" w:rsidRPr="00D46203" w:rsidRDefault="0090423F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Programma di spesa</w:t>
            </w:r>
            <w:r w:rsidR="00C8436D"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923" w:type="dxa"/>
          </w:tcPr>
          <w:p w:rsidR="00451012" w:rsidRPr="00F80331" w:rsidRDefault="00883987" w:rsidP="00883987">
            <w:pPr>
              <w:rPr>
                <w:rFonts w:ascii="Palatino Linotype" w:hAnsi="Palatino Linotype" w:cs="Verdana"/>
                <w:sz w:val="24"/>
                <w:szCs w:val="24"/>
              </w:rPr>
            </w:pPr>
            <w:r w:rsidRPr="00F80331">
              <w:rPr>
                <w:rFonts w:ascii="Palatino Linotype" w:hAnsi="Palatino Linotype" w:cs="Verdana"/>
                <w:sz w:val="24"/>
                <w:szCs w:val="24"/>
              </w:rPr>
              <w:t>Previdenza</w:t>
            </w:r>
          </w:p>
          <w:p w:rsidR="00883987" w:rsidRPr="00D46203" w:rsidRDefault="00883987" w:rsidP="00883987">
            <w:pPr>
              <w:rPr>
                <w:rFonts w:ascii="Palatino Linotype" w:hAnsi="Palatino Linotype" w:cs="Verdana"/>
                <w:sz w:val="24"/>
                <w:szCs w:val="24"/>
              </w:rPr>
            </w:pPr>
          </w:p>
        </w:tc>
      </w:tr>
      <w:tr w:rsidR="00E27A99" w:rsidRPr="00D46203" w:rsidTr="0090423F">
        <w:tc>
          <w:tcPr>
            <w:tcW w:w="1101" w:type="dxa"/>
          </w:tcPr>
          <w:p w:rsidR="00E27A99" w:rsidRPr="0090423F" w:rsidRDefault="0090423F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 w:rsidRPr="0090423F">
              <w:rPr>
                <w:rFonts w:ascii="Palatino Linotype" w:hAnsi="Palatino Linotype" w:cs="Verdana,Bold"/>
                <w:bCs/>
                <w:sz w:val="24"/>
                <w:szCs w:val="24"/>
              </w:rPr>
              <w:t>b.</w:t>
            </w:r>
          </w:p>
        </w:tc>
        <w:tc>
          <w:tcPr>
            <w:tcW w:w="3543" w:type="dxa"/>
          </w:tcPr>
          <w:p w:rsidR="00E27A99" w:rsidRPr="00D46203" w:rsidRDefault="00E27A99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 w:rsidRPr="00D46203"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Obiettivo</w:t>
            </w:r>
          </w:p>
        </w:tc>
        <w:tc>
          <w:tcPr>
            <w:tcW w:w="9923" w:type="dxa"/>
          </w:tcPr>
          <w:p w:rsidR="00E27A99" w:rsidRDefault="00E27A99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 w:rsidRPr="0090423F">
              <w:rPr>
                <w:rFonts w:ascii="Palatino Linotype" w:hAnsi="Palatino Linotype" w:cs="Verdana,Bold"/>
                <w:bCs/>
                <w:sz w:val="24"/>
                <w:szCs w:val="24"/>
              </w:rPr>
              <w:t>Svolgimento a tempo indeterminato delle attività finalizzate alla gestione e all’erogazione della previdenza e dell’assistenza in favore dei Consulenti del Lavoro</w:t>
            </w:r>
            <w:r w:rsidR="00566DE6">
              <w:rPr>
                <w:rFonts w:ascii="Palatino Linotype" w:hAnsi="Palatino Linotype" w:cs="Verdana,Bold"/>
                <w:bCs/>
                <w:sz w:val="24"/>
                <w:szCs w:val="24"/>
              </w:rPr>
              <w:t>.</w:t>
            </w:r>
          </w:p>
          <w:p w:rsidR="00451012" w:rsidRPr="0090423F" w:rsidRDefault="00451012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90423F" w:rsidRPr="00D46203" w:rsidTr="0090423F">
        <w:tc>
          <w:tcPr>
            <w:tcW w:w="1101" w:type="dxa"/>
          </w:tcPr>
          <w:p w:rsidR="0090423F" w:rsidRPr="0090423F" w:rsidRDefault="0090423F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c.</w:t>
            </w:r>
          </w:p>
        </w:tc>
        <w:tc>
          <w:tcPr>
            <w:tcW w:w="3543" w:type="dxa"/>
          </w:tcPr>
          <w:p w:rsidR="0090423F" w:rsidRPr="00D46203" w:rsidRDefault="0090423F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Portatori di interesse</w:t>
            </w:r>
          </w:p>
        </w:tc>
        <w:tc>
          <w:tcPr>
            <w:tcW w:w="9923" w:type="dxa"/>
          </w:tcPr>
          <w:p w:rsidR="0090423F" w:rsidRPr="00F80331" w:rsidRDefault="0090423F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Consulenti del Lavoro</w:t>
            </w:r>
            <w:r w:rsidR="00883987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</w:t>
            </w:r>
            <w:r w:rsidR="00883987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>e beneficiari di pensione ENPACL</w:t>
            </w:r>
            <w:r w:rsidR="00B318EB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>: al 31 dicembre 2014 numero</w:t>
            </w:r>
            <w:r w:rsidR="00883987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32.809</w:t>
            </w:r>
            <w:r w:rsidR="00B318EB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</w:t>
            </w:r>
            <w:r w:rsidR="00883987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tra </w:t>
            </w:r>
            <w:r w:rsidR="00B318EB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iscritti</w:t>
            </w:r>
            <w:r w:rsidR="00883987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>, pensionati iscritti e beneficiari di pensione</w:t>
            </w:r>
            <w:r w:rsidR="00B318EB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ENPACL.</w:t>
            </w:r>
          </w:p>
          <w:p w:rsidR="00451012" w:rsidRPr="0090423F" w:rsidRDefault="00451012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90423F" w:rsidRPr="00D46203" w:rsidTr="0090423F">
        <w:tc>
          <w:tcPr>
            <w:tcW w:w="1101" w:type="dxa"/>
          </w:tcPr>
          <w:p w:rsidR="0090423F" w:rsidRDefault="0090423F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d.</w:t>
            </w:r>
          </w:p>
        </w:tc>
        <w:tc>
          <w:tcPr>
            <w:tcW w:w="3543" w:type="dxa"/>
          </w:tcPr>
          <w:p w:rsidR="0090423F" w:rsidRDefault="0090423F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Centro di responsabilità</w:t>
            </w:r>
          </w:p>
        </w:tc>
        <w:tc>
          <w:tcPr>
            <w:tcW w:w="9923" w:type="dxa"/>
          </w:tcPr>
          <w:p w:rsidR="0090423F" w:rsidRDefault="0090423F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Consiglio di Amministrazione</w:t>
            </w:r>
            <w:r w:rsidR="00B318EB">
              <w:rPr>
                <w:rFonts w:ascii="Palatino Linotype" w:hAnsi="Palatino Linotype" w:cs="Verdana,Bold"/>
                <w:bCs/>
                <w:sz w:val="24"/>
                <w:szCs w:val="24"/>
              </w:rPr>
              <w:t>, in carica per il quadriennio 2011 – 2015;</w:t>
            </w:r>
          </w:p>
          <w:p w:rsidR="00B318EB" w:rsidRDefault="00B318EB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Assemblea dei Delegati, in carica per il quadriennio 2011 – 2015 che, ai sensi dell’art. 16, comma 2, lettera n) dello Sta</w:t>
            </w:r>
            <w:r w:rsidR="00566DE6">
              <w:rPr>
                <w:rFonts w:ascii="Palatino Linotype" w:hAnsi="Palatino Linotype" w:cs="Verdana,Bold"/>
                <w:bCs/>
                <w:sz w:val="24"/>
                <w:szCs w:val="24"/>
              </w:rPr>
              <w:t>t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uto, approva il bilancio tecnico.</w:t>
            </w:r>
          </w:p>
          <w:p w:rsidR="00451012" w:rsidRDefault="00451012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90423F" w:rsidRPr="00D46203" w:rsidTr="0090423F">
        <w:tc>
          <w:tcPr>
            <w:tcW w:w="1101" w:type="dxa"/>
          </w:tcPr>
          <w:p w:rsidR="0090423F" w:rsidRDefault="0090423F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e.</w:t>
            </w:r>
          </w:p>
        </w:tc>
        <w:tc>
          <w:tcPr>
            <w:tcW w:w="3543" w:type="dxa"/>
          </w:tcPr>
          <w:p w:rsidR="0090423F" w:rsidRDefault="0025557A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Indicatore</w:t>
            </w:r>
          </w:p>
        </w:tc>
        <w:tc>
          <w:tcPr>
            <w:tcW w:w="9923" w:type="dxa"/>
          </w:tcPr>
          <w:p w:rsidR="00451012" w:rsidRDefault="000511D0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Saldo </w:t>
            </w:r>
            <w:r w:rsidR="00566DE6">
              <w:rPr>
                <w:rFonts w:ascii="Palatino Linotype" w:hAnsi="Palatino Linotype" w:cs="Verdana,Bold"/>
                <w:bCs/>
                <w:sz w:val="24"/>
                <w:szCs w:val="24"/>
              </w:rPr>
              <w:t>totale positivo</w:t>
            </w:r>
          </w:p>
          <w:p w:rsidR="00451012" w:rsidRDefault="00451012" w:rsidP="00464342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451012" w:rsidRPr="00D46203" w:rsidTr="0090423F">
        <w:tc>
          <w:tcPr>
            <w:tcW w:w="1101" w:type="dxa"/>
          </w:tcPr>
          <w:p w:rsidR="00451012" w:rsidRDefault="00451012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451012" w:rsidRDefault="00451012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:rsidR="00451012" w:rsidRDefault="00451012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Tipologia: indicatore di impatto (</w:t>
            </w:r>
            <w:proofErr w:type="spellStart"/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outcome</w:t>
            </w:r>
            <w:proofErr w:type="spellEnd"/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)</w:t>
            </w:r>
          </w:p>
          <w:p w:rsidR="00451012" w:rsidRDefault="00451012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081285" w:rsidRPr="00D46203" w:rsidTr="0090423F">
        <w:tc>
          <w:tcPr>
            <w:tcW w:w="1101" w:type="dxa"/>
          </w:tcPr>
          <w:p w:rsidR="00081285" w:rsidRDefault="00081285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81285" w:rsidRDefault="00081285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:rsidR="00081285" w:rsidRDefault="00464342" w:rsidP="00464342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Definizione: numero di anni </w:t>
            </w:r>
            <w:r w:rsidR="000511D0">
              <w:rPr>
                <w:rFonts w:ascii="Palatino Linotype" w:hAnsi="Palatino Linotype" w:cs="Verdana,Bold"/>
                <w:bCs/>
                <w:sz w:val="24"/>
                <w:szCs w:val="24"/>
              </w:rPr>
              <w:t>durante i quali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il saldo </w:t>
            </w:r>
            <w:r w:rsidR="00566DE6">
              <w:rPr>
                <w:rFonts w:ascii="Palatino Linotype" w:hAnsi="Palatino Linotype" w:cs="Verdana,Bold"/>
                <w:bCs/>
                <w:sz w:val="24"/>
                <w:szCs w:val="24"/>
              </w:rPr>
              <w:t>totale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(entrate totali su uscite totali) mantiene un valore positivo</w:t>
            </w:r>
          </w:p>
          <w:p w:rsidR="00451012" w:rsidRDefault="00451012" w:rsidP="00464342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081285" w:rsidRPr="00D46203" w:rsidTr="0090423F">
        <w:tc>
          <w:tcPr>
            <w:tcW w:w="1101" w:type="dxa"/>
          </w:tcPr>
          <w:p w:rsidR="00081285" w:rsidRDefault="00081285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081285" w:rsidRDefault="00081285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</w:p>
        </w:tc>
        <w:tc>
          <w:tcPr>
            <w:tcW w:w="9923" w:type="dxa"/>
          </w:tcPr>
          <w:p w:rsidR="00081285" w:rsidRDefault="00464342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Metodo: </w:t>
            </w:r>
            <w:r w:rsidR="00451012">
              <w:rPr>
                <w:rFonts w:ascii="Palatino Linotype" w:hAnsi="Palatino Linotype" w:cs="Verdana,Bold"/>
                <w:bCs/>
                <w:sz w:val="24"/>
                <w:szCs w:val="24"/>
              </w:rPr>
              <w:t>ipotesi economiche, demografiche e finanziarie contenute nel Bilancio tecnico</w:t>
            </w:r>
          </w:p>
          <w:p w:rsidR="00451012" w:rsidRDefault="00451012" w:rsidP="00451012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25557A" w:rsidRPr="00D46203" w:rsidTr="0090423F">
        <w:tc>
          <w:tcPr>
            <w:tcW w:w="1101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f.</w:t>
            </w:r>
          </w:p>
        </w:tc>
        <w:tc>
          <w:tcPr>
            <w:tcW w:w="3543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Valore target indicatore</w:t>
            </w:r>
          </w:p>
        </w:tc>
        <w:tc>
          <w:tcPr>
            <w:tcW w:w="9923" w:type="dxa"/>
          </w:tcPr>
          <w:p w:rsidR="0025557A" w:rsidRDefault="0025557A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30</w:t>
            </w:r>
            <w:r w:rsidR="000511D0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anni</w:t>
            </w:r>
            <w:r w:rsidR="00566DE6">
              <w:rPr>
                <w:rFonts w:ascii="Palatino Linotype" w:hAnsi="Palatino Linotype" w:cs="Verdana,Bold"/>
                <w:bCs/>
                <w:sz w:val="24"/>
                <w:szCs w:val="24"/>
              </w:rPr>
              <w:t>, ai sensi del comma 763 dell’articolo unico della Legge n. 296/2006 (legge finanziaria 2007)</w:t>
            </w:r>
          </w:p>
          <w:p w:rsidR="00451012" w:rsidRDefault="00451012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25557A" w:rsidRPr="00D46203" w:rsidTr="0090423F">
        <w:tc>
          <w:tcPr>
            <w:tcW w:w="1101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g.</w:t>
            </w:r>
          </w:p>
        </w:tc>
        <w:tc>
          <w:tcPr>
            <w:tcW w:w="3543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 xml:space="preserve">Valore </w:t>
            </w:r>
            <w:r w:rsidR="00C8436D"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 xml:space="preserve">osservato </w:t>
            </w: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a consuntivo</w:t>
            </w:r>
          </w:p>
        </w:tc>
        <w:tc>
          <w:tcPr>
            <w:tcW w:w="9923" w:type="dxa"/>
          </w:tcPr>
          <w:p w:rsidR="00451012" w:rsidRDefault="00885339" w:rsidP="00883987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Il saldo totale effettivo dell’anno 2014 è ampiamente positivo (€ 96.385.057) ed è molto al di sopra del dato contenuto nell’ultimo bilancio tecnico</w:t>
            </w:r>
            <w:r w:rsidR="00883987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</w:t>
            </w:r>
            <w:r w:rsidR="00883987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>di riferimento</w:t>
            </w:r>
            <w:r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(€ 54.019.000). Tale bilancio tecnico indica un saldo positivo per tutto il periodo di osservazione, sino all’anno 2063 e quindi ben oltre i 30 anni di cui al </w:t>
            </w:r>
            <w:r w:rsidRPr="00885339"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Valore target indicatore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. Nel 2044</w:t>
            </w:r>
            <w:r w:rsidR="00EB7575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il saldo totale si stima pari a € </w:t>
            </w:r>
            <w:r w:rsidR="00C97295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122.490.000 a quadro normativo vigente e a € </w:t>
            </w:r>
            <w:r w:rsidR="00B06DC8">
              <w:rPr>
                <w:rFonts w:ascii="Palatino Linotype" w:hAnsi="Palatino Linotype" w:cs="Verdana,Bold"/>
                <w:bCs/>
                <w:sz w:val="24"/>
                <w:szCs w:val="24"/>
              </w:rPr>
              <w:t>110.759.000</w:t>
            </w:r>
            <w:r w:rsidR="00C97295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nel nuovo quadro normativo.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</w:t>
            </w:r>
          </w:p>
        </w:tc>
      </w:tr>
      <w:tr w:rsidR="0025557A" w:rsidRPr="00D46203" w:rsidTr="0090423F">
        <w:tc>
          <w:tcPr>
            <w:tcW w:w="1101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h.</w:t>
            </w:r>
          </w:p>
        </w:tc>
        <w:tc>
          <w:tcPr>
            <w:tcW w:w="3543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Risorse finanziarie</w:t>
            </w:r>
          </w:p>
        </w:tc>
        <w:tc>
          <w:tcPr>
            <w:tcW w:w="9923" w:type="dxa"/>
          </w:tcPr>
          <w:p w:rsidR="0025557A" w:rsidRPr="00081285" w:rsidRDefault="0025557A" w:rsidP="00AC24D3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 w:rsidRPr="00081285">
              <w:rPr>
                <w:rFonts w:ascii="Palatino Linotype" w:hAnsi="Palatino Linotype" w:cs="Verdana,Bold"/>
                <w:bCs/>
                <w:sz w:val="24"/>
                <w:szCs w:val="24"/>
              </w:rPr>
              <w:t>Contributi obbligatori, volontari e facoltativi, sanzioni, interessi ed ogni altro accessorio per ritardi, omissioni o irregolarità negli adempimenti, versati dai Consulenti del Lavoro.</w:t>
            </w:r>
          </w:p>
          <w:p w:rsidR="0025557A" w:rsidRPr="00081285" w:rsidRDefault="0025557A" w:rsidP="00AC24D3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 w:rsidRPr="00081285">
              <w:rPr>
                <w:rFonts w:ascii="Palatino Linotype" w:hAnsi="Palatino Linotype" w:cs="Verdana,Bold"/>
                <w:bCs/>
                <w:sz w:val="24"/>
                <w:szCs w:val="24"/>
              </w:rPr>
              <w:t>Redditi patrimoniali.</w:t>
            </w:r>
          </w:p>
          <w:p w:rsidR="0025557A" w:rsidRDefault="0025557A" w:rsidP="00AC24D3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 w:rsidRPr="00081285">
              <w:rPr>
                <w:rFonts w:ascii="Palatino Linotype" w:hAnsi="Palatino Linotype" w:cs="Verdana,Bold"/>
                <w:bCs/>
                <w:sz w:val="24"/>
                <w:szCs w:val="24"/>
              </w:rPr>
              <w:t>Ogni altra eventuale entrata.</w:t>
            </w:r>
          </w:p>
          <w:p w:rsidR="00451012" w:rsidRPr="00081285" w:rsidRDefault="00451012" w:rsidP="00AC24D3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25557A" w:rsidRPr="00D46203" w:rsidTr="0090423F">
        <w:tc>
          <w:tcPr>
            <w:tcW w:w="1101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i.</w:t>
            </w:r>
          </w:p>
        </w:tc>
        <w:tc>
          <w:tcPr>
            <w:tcW w:w="3543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Fonte dei dati</w:t>
            </w:r>
          </w:p>
        </w:tc>
        <w:tc>
          <w:tcPr>
            <w:tcW w:w="9923" w:type="dxa"/>
          </w:tcPr>
          <w:p w:rsidR="0025557A" w:rsidRDefault="0025557A" w:rsidP="00566DE6">
            <w:pPr>
              <w:jc w:val="both"/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Bilancio tecnico</w:t>
            </w:r>
            <w:r w:rsidR="00451012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al 31 dicembre 20</w:t>
            </w:r>
            <w:r w:rsidR="00566DE6">
              <w:rPr>
                <w:rFonts w:ascii="Palatino Linotype" w:hAnsi="Palatino Linotype" w:cs="Verdana,Bold"/>
                <w:bCs/>
                <w:sz w:val="24"/>
                <w:szCs w:val="24"/>
              </w:rPr>
              <w:t>13</w:t>
            </w:r>
            <w:r w:rsidR="00451012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, 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redatto in base </w:t>
            </w:r>
            <w:r w:rsidR="00451012">
              <w:rPr>
                <w:rFonts w:ascii="Palatino Linotype" w:hAnsi="Palatino Linotype" w:cs="Verdana,Bold"/>
                <w:bCs/>
                <w:sz w:val="24"/>
                <w:szCs w:val="24"/>
              </w:rPr>
              <w:t>a quanto previsto dall’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articolo 2, comma 2, decreto legislativo 30 giugno 1994</w:t>
            </w:r>
            <w:r w:rsidR="00566DE6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n.509</w:t>
            </w:r>
            <w:r w:rsidR="00451012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 nonché ai sensi del DM 29 novembre 2007</w:t>
            </w:r>
            <w:r w:rsidR="00AD26AC">
              <w:rPr>
                <w:rFonts w:ascii="Palatino Linotype" w:hAnsi="Palatino Linotype" w:cs="Verdana,Bold"/>
                <w:bCs/>
                <w:sz w:val="24"/>
                <w:szCs w:val="24"/>
              </w:rPr>
              <w:t xml:space="preserve">, </w:t>
            </w:r>
            <w:r w:rsidR="00AD26AC" w:rsidRPr="00F80331">
              <w:rPr>
                <w:rFonts w:ascii="Palatino Linotype" w:hAnsi="Palatino Linotype" w:cs="Verdana,Bold"/>
                <w:bCs/>
                <w:sz w:val="24"/>
                <w:szCs w:val="24"/>
              </w:rPr>
              <w:t>secondo parametri specifici e a quadro normativo vigente.</w:t>
            </w:r>
          </w:p>
          <w:p w:rsidR="00451012" w:rsidRPr="0025557A" w:rsidRDefault="00451012" w:rsidP="00451012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  <w:tr w:rsidR="0025557A" w:rsidRPr="00D46203" w:rsidTr="0090423F">
        <w:tc>
          <w:tcPr>
            <w:tcW w:w="1101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j.</w:t>
            </w:r>
          </w:p>
        </w:tc>
        <w:tc>
          <w:tcPr>
            <w:tcW w:w="3543" w:type="dxa"/>
          </w:tcPr>
          <w:p w:rsidR="0025557A" w:rsidRDefault="0025557A" w:rsidP="00617C46">
            <w:pP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/>
                <w:bCs/>
                <w:sz w:val="24"/>
                <w:szCs w:val="24"/>
              </w:rPr>
              <w:t>Unità di misura</w:t>
            </w:r>
          </w:p>
        </w:tc>
        <w:tc>
          <w:tcPr>
            <w:tcW w:w="9923" w:type="dxa"/>
          </w:tcPr>
          <w:p w:rsidR="0025557A" w:rsidRDefault="0025557A" w:rsidP="0025557A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  <w:r>
              <w:rPr>
                <w:rFonts w:ascii="Palatino Linotype" w:hAnsi="Palatino Linotype" w:cs="Verdana,Bold"/>
                <w:bCs/>
                <w:sz w:val="24"/>
                <w:szCs w:val="24"/>
              </w:rPr>
              <w:t>Euro</w:t>
            </w:r>
          </w:p>
          <w:p w:rsidR="00451012" w:rsidRDefault="00451012" w:rsidP="0025557A">
            <w:pPr>
              <w:rPr>
                <w:rFonts w:ascii="Palatino Linotype" w:hAnsi="Palatino Linotype" w:cs="Verdana,Bold"/>
                <w:bCs/>
                <w:sz w:val="24"/>
                <w:szCs w:val="24"/>
              </w:rPr>
            </w:pPr>
          </w:p>
        </w:tc>
      </w:tr>
    </w:tbl>
    <w:p w:rsidR="0090423F" w:rsidRDefault="0090423F"/>
    <w:p w:rsidR="0090423F" w:rsidRDefault="0090423F"/>
    <w:p w:rsidR="00E27A99" w:rsidRPr="00D46203" w:rsidRDefault="00E27A99" w:rsidP="00D46203">
      <w:pPr>
        <w:rPr>
          <w:rFonts w:ascii="Palatino Linotype" w:hAnsi="Palatino Linotype"/>
          <w:sz w:val="24"/>
          <w:szCs w:val="24"/>
        </w:rPr>
      </w:pPr>
    </w:p>
    <w:sectPr w:rsidR="00E27A99" w:rsidRPr="00D46203" w:rsidSect="00E27A9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-Extend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65A92"/>
    <w:multiLevelType w:val="hybridMultilevel"/>
    <w:tmpl w:val="1EC84CC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03"/>
    <w:rsid w:val="000511D0"/>
    <w:rsid w:val="00081285"/>
    <w:rsid w:val="00230FA0"/>
    <w:rsid w:val="0025557A"/>
    <w:rsid w:val="00451012"/>
    <w:rsid w:val="00464342"/>
    <w:rsid w:val="004D6307"/>
    <w:rsid w:val="00566DE6"/>
    <w:rsid w:val="0061138C"/>
    <w:rsid w:val="007875F7"/>
    <w:rsid w:val="00883987"/>
    <w:rsid w:val="00885339"/>
    <w:rsid w:val="0090423F"/>
    <w:rsid w:val="009D4102"/>
    <w:rsid w:val="00AC24D3"/>
    <w:rsid w:val="00AD26AC"/>
    <w:rsid w:val="00AE64A3"/>
    <w:rsid w:val="00B06DC8"/>
    <w:rsid w:val="00B318EB"/>
    <w:rsid w:val="00B96309"/>
    <w:rsid w:val="00C8436D"/>
    <w:rsid w:val="00C97295"/>
    <w:rsid w:val="00CD337C"/>
    <w:rsid w:val="00D46203"/>
    <w:rsid w:val="00E27A99"/>
    <w:rsid w:val="00EB7575"/>
    <w:rsid w:val="00F8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6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255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6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255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faretra</dc:creator>
  <cp:lastModifiedBy>de gennaro mauro</cp:lastModifiedBy>
  <cp:revision>10</cp:revision>
  <dcterms:created xsi:type="dcterms:W3CDTF">2015-05-14T11:04:00Z</dcterms:created>
  <dcterms:modified xsi:type="dcterms:W3CDTF">2015-06-23T08:46:00Z</dcterms:modified>
</cp:coreProperties>
</file>